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9669C">
        <w:rPr>
          <w:b/>
          <w:sz w:val="24"/>
          <w:szCs w:val="24"/>
        </w:rPr>
        <w:t>a</w:t>
      </w:r>
      <w:r w:rsidR="00AC741E">
        <w:rPr>
          <w:b/>
          <w:sz w:val="24"/>
          <w:szCs w:val="24"/>
        </w:rPr>
        <w:t>tio</w:t>
      </w:r>
      <w:r w:rsidR="00804F1F">
        <w:rPr>
          <w:b/>
          <w:sz w:val="24"/>
          <w:szCs w:val="24"/>
        </w:rPr>
        <w:t>n and action at the December 20</w:t>
      </w:r>
      <w:r>
        <w:rPr>
          <w:b/>
          <w:sz w:val="24"/>
          <w:szCs w:val="24"/>
        </w:rPr>
        <w:t>, 2016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83005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December 20</w:t>
      </w:r>
      <w:r w:rsidR="00922F83">
        <w:rPr>
          <w:b/>
          <w:i/>
          <w:sz w:val="24"/>
          <w:szCs w:val="24"/>
        </w:rPr>
        <w:t>, 2016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0A42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November 28, 2015</w:t>
      </w:r>
      <w:r w:rsidR="00E14557">
        <w:rPr>
          <w:b/>
          <w:i/>
          <w:sz w:val="24"/>
          <w:szCs w:val="24"/>
        </w:rPr>
        <w:t xml:space="preserve"> and amended March 1, 2016,</w:t>
      </w:r>
      <w:r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2B42C5" w:rsidRPr="002B42C5" w:rsidRDefault="002B42C5" w:rsidP="002B42C5">
      <w:pPr>
        <w:pStyle w:val="ListParagraph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4824B1" w:rsidRDefault="004824B1" w:rsidP="0089624C">
      <w:pPr>
        <w:pStyle w:val="ListParagraph"/>
        <w:ind w:left="0"/>
        <w:rPr>
          <w:b/>
          <w:bCs/>
          <w:sz w:val="24"/>
          <w:szCs w:val="24"/>
        </w:rPr>
      </w:pPr>
    </w:p>
    <w:p w:rsidR="0089624C" w:rsidRDefault="00804F1F" w:rsidP="00C726EF">
      <w:pPr>
        <w:pStyle w:val="ListParagraph"/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RECOGNITION OF BRIAN BRENKERT/RECREATION COMMISSION</w:t>
      </w:r>
    </w:p>
    <w:p w:rsidR="004824B1" w:rsidRDefault="004824B1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922F83" w:rsidRPr="004824B1" w:rsidRDefault="00245248" w:rsidP="00E518EC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2F83" w:rsidRPr="004824B1">
        <w:rPr>
          <w:b/>
          <w:bCs/>
          <w:sz w:val="24"/>
          <w:szCs w:val="24"/>
        </w:rPr>
        <w:t xml:space="preserve">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E518EC" w:rsidRDefault="00E518EC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922F83" w:rsidRDefault="00922F83" w:rsidP="00245248">
      <w:pPr>
        <w:pStyle w:val="ListParagraph"/>
        <w:numPr>
          <w:ilvl w:val="0"/>
          <w:numId w:val="31"/>
        </w:numPr>
        <w:ind w:left="360" w:hanging="450"/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C5319A" w:rsidRDefault="00C726EF" w:rsidP="00C726EF">
      <w:pPr>
        <w:pStyle w:val="ListParagraph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5319A" w:rsidRPr="00C726EF">
        <w:rPr>
          <w:b/>
          <w:bCs/>
          <w:sz w:val="24"/>
          <w:szCs w:val="24"/>
        </w:rPr>
        <w:t>Approva</w:t>
      </w:r>
      <w:r w:rsidR="0089624C" w:rsidRPr="00C726EF">
        <w:rPr>
          <w:b/>
          <w:bCs/>
          <w:sz w:val="24"/>
          <w:szCs w:val="24"/>
        </w:rPr>
        <w:t xml:space="preserve">l of Mayor and Council </w:t>
      </w:r>
      <w:r w:rsidR="00804F1F">
        <w:rPr>
          <w:b/>
          <w:bCs/>
          <w:sz w:val="24"/>
          <w:szCs w:val="24"/>
        </w:rPr>
        <w:t>Executive Session Minutes:  October 14</w:t>
      </w:r>
      <w:r w:rsidR="00C5319A" w:rsidRPr="00C726EF">
        <w:rPr>
          <w:b/>
          <w:bCs/>
          <w:sz w:val="24"/>
          <w:szCs w:val="24"/>
        </w:rPr>
        <w:t xml:space="preserve">, </w:t>
      </w:r>
    </w:p>
    <w:p w:rsidR="00C726EF" w:rsidRDefault="00C726EF" w:rsidP="00C726EF">
      <w:pPr>
        <w:pStyle w:val="ListParagraph"/>
        <w:ind w:left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2016;</w:t>
      </w:r>
      <w:r w:rsidR="00804F1F">
        <w:rPr>
          <w:b/>
          <w:bCs/>
          <w:sz w:val="24"/>
          <w:szCs w:val="24"/>
        </w:rPr>
        <w:t xml:space="preserve"> Regular Meeting November 22</w:t>
      </w:r>
      <w:r w:rsidR="0089624C">
        <w:rPr>
          <w:b/>
          <w:bCs/>
          <w:sz w:val="24"/>
          <w:szCs w:val="24"/>
        </w:rPr>
        <w:t>, 2016</w:t>
      </w:r>
    </w:p>
    <w:p w:rsidR="00804F1F" w:rsidRDefault="00C726EF" w:rsidP="00804F1F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04F1F">
        <w:rPr>
          <w:b/>
          <w:bCs/>
          <w:sz w:val="24"/>
          <w:szCs w:val="24"/>
        </w:rPr>
        <w:t>Approval of agreement with Space Farm Zoo for deer carcass removal</w:t>
      </w:r>
    </w:p>
    <w:p w:rsidR="00804F1F" w:rsidRDefault="00804F1F" w:rsidP="00804F1F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Resolution No. 2016-12.1:  Opposing S781 and S782 that a</w:t>
      </w:r>
      <w:r w:rsidR="00AE2451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 attempting to further revise our current OPRA and OPMA laws</w:t>
      </w:r>
    </w:p>
    <w:p w:rsidR="00804F1F" w:rsidRPr="00804F1F" w:rsidRDefault="00804F1F" w:rsidP="00804F1F">
      <w:pPr>
        <w:rPr>
          <w:b/>
          <w:bCs/>
          <w:sz w:val="24"/>
          <w:szCs w:val="24"/>
        </w:rPr>
      </w:pPr>
    </w:p>
    <w:p w:rsidR="00922F83" w:rsidRDefault="00E518EC" w:rsidP="00804F1F">
      <w:pPr>
        <w:pStyle w:val="ListParagraph"/>
        <w:ind w:hanging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PENDING ITEMS:</w:t>
      </w:r>
    </w:p>
    <w:p w:rsidR="00C519F3" w:rsidRDefault="002A242E" w:rsidP="002B42C5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26EF">
        <w:rPr>
          <w:b/>
          <w:bCs/>
          <w:sz w:val="24"/>
          <w:szCs w:val="24"/>
        </w:rPr>
        <w:t xml:space="preserve">    A.  </w:t>
      </w:r>
      <w:r w:rsidR="00C519F3">
        <w:rPr>
          <w:b/>
          <w:bCs/>
          <w:sz w:val="24"/>
          <w:szCs w:val="24"/>
        </w:rPr>
        <w:t xml:space="preserve">Adoption of Resolution No. 2016-12.___:  Authorizing sale by online auction of </w:t>
      </w:r>
    </w:p>
    <w:p w:rsidR="00C519F3" w:rsidRDefault="00C519F3" w:rsidP="002B42C5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Borough Vehicles</w:t>
      </w:r>
    </w:p>
    <w:p w:rsidR="00C519F3" w:rsidRDefault="00C519F3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B.  </w:t>
      </w:r>
      <w:r w:rsidR="00836A2E">
        <w:rPr>
          <w:b/>
          <w:bCs/>
          <w:sz w:val="24"/>
          <w:szCs w:val="24"/>
        </w:rPr>
        <w:t>Second and final reading and</w:t>
      </w:r>
      <w:r>
        <w:rPr>
          <w:b/>
          <w:bCs/>
          <w:sz w:val="24"/>
          <w:szCs w:val="24"/>
        </w:rPr>
        <w:t xml:space="preserve"> Public Hearing Ordinance No. 26-2016 – Adding </w:t>
      </w:r>
    </w:p>
    <w:p w:rsidR="00C519F3" w:rsidRDefault="00C519F3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Chapter 36,</w:t>
      </w:r>
      <w:r w:rsidR="0098300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entitled “Taxation” to establish a mechanism for qualified property </w:t>
      </w:r>
    </w:p>
    <w:p w:rsidR="00836A2E" w:rsidRPr="00C519F3" w:rsidRDefault="00C519F3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owners to avail themselves of property tax exemptions</w:t>
      </w:r>
    </w:p>
    <w:p w:rsidR="000E22C6" w:rsidRPr="00EB553C" w:rsidRDefault="000E22C6" w:rsidP="000E22C6">
      <w:pPr>
        <w:pStyle w:val="ListParagraph"/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EB553C">
        <w:rPr>
          <w:b/>
          <w:bCs/>
          <w:sz w:val="24"/>
          <w:szCs w:val="24"/>
        </w:rPr>
        <w:t>Public Notice Statement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0E22C6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C519F3" w:rsidRDefault="00C519F3" w:rsidP="00C519F3">
      <w:pPr>
        <w:ind w:left="990"/>
        <w:textAlignment w:val="baseline"/>
        <w:rPr>
          <w:b/>
          <w:bCs/>
          <w:sz w:val="24"/>
          <w:szCs w:val="24"/>
        </w:rPr>
      </w:pPr>
    </w:p>
    <w:p w:rsidR="00922F83" w:rsidRDefault="00E518EC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INTRODUCTION OF NEW BUSINESS</w:t>
      </w:r>
    </w:p>
    <w:p w:rsidR="00B20805" w:rsidRDefault="005F566E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</w:t>
      </w:r>
      <w:r w:rsidR="007A36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A408F4">
        <w:rPr>
          <w:b/>
          <w:bCs/>
          <w:sz w:val="24"/>
          <w:szCs w:val="24"/>
        </w:rPr>
        <w:t>doption of Reso</w:t>
      </w:r>
      <w:r w:rsidR="00C519F3">
        <w:rPr>
          <w:b/>
          <w:bCs/>
          <w:sz w:val="24"/>
          <w:szCs w:val="24"/>
        </w:rPr>
        <w:t>lution No. 2016-12</w:t>
      </w:r>
      <w:r>
        <w:rPr>
          <w:b/>
          <w:bCs/>
          <w:sz w:val="24"/>
          <w:szCs w:val="24"/>
        </w:rPr>
        <w:t>.___:  Payment of Bills</w:t>
      </w:r>
    </w:p>
    <w:p w:rsidR="000E22C6" w:rsidRDefault="000E22C6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B.   Ad</w:t>
      </w:r>
      <w:r w:rsidR="00C519F3">
        <w:rPr>
          <w:b/>
          <w:bCs/>
          <w:sz w:val="24"/>
          <w:szCs w:val="24"/>
        </w:rPr>
        <w:t>option of Resolution No. 2016-12</w:t>
      </w:r>
      <w:r>
        <w:rPr>
          <w:b/>
          <w:bCs/>
          <w:sz w:val="24"/>
          <w:szCs w:val="24"/>
        </w:rPr>
        <w:t>.___:  Transfer Resolution</w:t>
      </w:r>
    </w:p>
    <w:p w:rsidR="000E22C6" w:rsidRDefault="000E22C6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C.   Adoption of Tax Office Resolutions:</w:t>
      </w:r>
    </w:p>
    <w:p w:rsidR="009E06FB" w:rsidRDefault="009E06FB" w:rsidP="0098131A">
      <w:pPr>
        <w:pStyle w:val="ListParagraph"/>
        <w:numPr>
          <w:ilvl w:val="0"/>
          <w:numId w:val="44"/>
        </w:num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Redemption/Refund Tax Title Lien Block 5053; Lot 40</w:t>
      </w:r>
    </w:p>
    <w:p w:rsidR="009E06FB" w:rsidRDefault="009E06FB" w:rsidP="0098131A">
      <w:pPr>
        <w:pStyle w:val="ListParagraph"/>
        <w:numPr>
          <w:ilvl w:val="0"/>
          <w:numId w:val="44"/>
        </w:num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Redemption/Cancellation Tax Title Lien #15-00014</w:t>
      </w:r>
    </w:p>
    <w:p w:rsidR="009E06FB" w:rsidRDefault="009E06FB" w:rsidP="0098131A">
      <w:pPr>
        <w:pStyle w:val="ListParagraph"/>
        <w:numPr>
          <w:ilvl w:val="0"/>
          <w:numId w:val="44"/>
        </w:num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Redemption/Cancellation Tax Title Lien #14-00022</w:t>
      </w:r>
    </w:p>
    <w:p w:rsidR="009E06FB" w:rsidRDefault="0098131A" w:rsidP="0098131A">
      <w:pPr>
        <w:pStyle w:val="ListParagraph"/>
        <w:numPr>
          <w:ilvl w:val="0"/>
          <w:numId w:val="44"/>
        </w:num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State Tax Court Refund Block 5088; Lot 12</w:t>
      </w:r>
    </w:p>
    <w:p w:rsidR="0098131A" w:rsidRDefault="0098131A" w:rsidP="0098131A">
      <w:pPr>
        <w:pStyle w:val="ListParagraph"/>
        <w:numPr>
          <w:ilvl w:val="0"/>
          <w:numId w:val="44"/>
        </w:num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State Tax Court Refund Block 3012; Lot 5</w:t>
      </w:r>
    </w:p>
    <w:p w:rsidR="00C519F3" w:rsidRPr="0098131A" w:rsidRDefault="0098131A" w:rsidP="0092760A">
      <w:pPr>
        <w:pStyle w:val="ListParagraph"/>
        <w:numPr>
          <w:ilvl w:val="0"/>
          <w:numId w:val="44"/>
        </w:numPr>
        <w:ind w:hanging="90"/>
        <w:rPr>
          <w:b/>
          <w:bCs/>
          <w:sz w:val="24"/>
          <w:szCs w:val="24"/>
        </w:rPr>
      </w:pPr>
      <w:r w:rsidRPr="0098131A">
        <w:rPr>
          <w:b/>
          <w:bCs/>
          <w:sz w:val="24"/>
          <w:szCs w:val="24"/>
        </w:rPr>
        <w:t>State Tax Court Refund Block 5060; Lot 23</w:t>
      </w:r>
    </w:p>
    <w:p w:rsidR="003F5DDC" w:rsidRDefault="003F5DDC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C519F3">
        <w:rPr>
          <w:b/>
          <w:bCs/>
          <w:sz w:val="24"/>
          <w:szCs w:val="24"/>
        </w:rPr>
        <w:t>option of Resolution No. 2016-12.___:  Chapter 159 Drive Sober or Get Pulled Over</w:t>
      </w:r>
    </w:p>
    <w:p w:rsidR="003F5DDC" w:rsidRDefault="003F5DDC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</w:t>
      </w:r>
      <w:r w:rsidR="00C519F3">
        <w:rPr>
          <w:b/>
          <w:bCs/>
          <w:sz w:val="24"/>
          <w:szCs w:val="24"/>
        </w:rPr>
        <w:t>o. 2016-12.___:  Authorizing submission of Municipal Alliance Grant</w:t>
      </w:r>
    </w:p>
    <w:p w:rsidR="003F5DDC" w:rsidRDefault="003F5DDC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C519F3">
        <w:rPr>
          <w:b/>
          <w:bCs/>
          <w:sz w:val="24"/>
          <w:szCs w:val="24"/>
        </w:rPr>
        <w:t>option of Resolution No. 2016-12</w:t>
      </w:r>
      <w:r w:rsidR="00B90CB9">
        <w:rPr>
          <w:b/>
          <w:bCs/>
          <w:sz w:val="24"/>
          <w:szCs w:val="24"/>
        </w:rPr>
        <w:t>.___:  Authorizing agreement with Bloomingdale Fire Department for maintenance</w:t>
      </w:r>
    </w:p>
    <w:p w:rsidR="00B90CB9" w:rsidRDefault="00B90CB9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</w:t>
      </w:r>
      <w:r w:rsidR="008E5128">
        <w:rPr>
          <w:b/>
          <w:bCs/>
          <w:sz w:val="24"/>
          <w:szCs w:val="24"/>
        </w:rPr>
        <w:t>. 2016-12.___:  Authorizing agr</w:t>
      </w:r>
      <w:r>
        <w:rPr>
          <w:b/>
          <w:bCs/>
          <w:sz w:val="24"/>
          <w:szCs w:val="24"/>
        </w:rPr>
        <w:t>eement with Board of Education for landscaping services</w:t>
      </w:r>
    </w:p>
    <w:p w:rsidR="00B90CB9" w:rsidRDefault="00B90CB9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water connection fees</w:t>
      </w:r>
    </w:p>
    <w:p w:rsidR="00B90CB9" w:rsidRDefault="00B90CB9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2016-12.___:  Authorizing grant application of NJDOT paving of Red Twig Trail</w:t>
      </w:r>
    </w:p>
    <w:p w:rsidR="008E5128" w:rsidRDefault="008E5128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2016-12.___:  Authorizing grant application for CDBG grant for paving of Henion Street</w:t>
      </w:r>
    </w:p>
    <w:p w:rsidR="008E5128" w:rsidRDefault="008E5128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2016-12.___:   2017 Governing Body meeting schedule</w:t>
      </w:r>
    </w:p>
    <w:p w:rsidR="008E5128" w:rsidRDefault="008E5128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</w:t>
      </w:r>
      <w:r w:rsidR="005B67A5">
        <w:rPr>
          <w:b/>
          <w:bCs/>
          <w:sz w:val="24"/>
          <w:szCs w:val="24"/>
        </w:rPr>
        <w:t xml:space="preserve">-12.___:  Appointment of Richard </w:t>
      </w:r>
      <w:proofErr w:type="spellStart"/>
      <w:r w:rsidR="005B67A5">
        <w:rPr>
          <w:b/>
          <w:bCs/>
          <w:sz w:val="24"/>
          <w:szCs w:val="24"/>
        </w:rPr>
        <w:t>Kunze</w:t>
      </w:r>
      <w:proofErr w:type="spellEnd"/>
      <w:r w:rsidR="005B67A5">
        <w:rPr>
          <w:b/>
          <w:bCs/>
          <w:sz w:val="24"/>
          <w:szCs w:val="24"/>
        </w:rPr>
        <w:t xml:space="preserve"> as QPA</w:t>
      </w:r>
    </w:p>
    <w:p w:rsidR="008E5128" w:rsidRPr="000E22C6" w:rsidRDefault="008E5128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2016-12.___:  Authorizing contract with Community Grants and Planning for affordable housing monitoring</w:t>
      </w:r>
    </w:p>
    <w:p w:rsidR="004C6039" w:rsidRDefault="004C6039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 LATE EXECUTIVE SESSION</w:t>
      </w:r>
    </w:p>
    <w:p w:rsidR="00744F67" w:rsidRDefault="003F5DD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Personnel – Two matters</w:t>
      </w:r>
      <w:r w:rsidR="00744F67">
        <w:rPr>
          <w:b/>
          <w:bCs/>
          <w:sz w:val="24"/>
          <w:szCs w:val="24"/>
        </w:rPr>
        <w:t xml:space="preserve">       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922F83" w:rsidRDefault="00922F83" w:rsidP="00922F83">
      <w:pPr>
        <w:ind w:firstLine="180"/>
        <w:rPr>
          <w:b/>
          <w:bCs/>
          <w:sz w:val="24"/>
          <w:szCs w:val="24"/>
        </w:rPr>
      </w:pP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GOVERNING BODY SCHEDULE</w:t>
      </w:r>
    </w:p>
    <w:p w:rsidR="006B0C50" w:rsidRDefault="00E96213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</w:t>
      </w:r>
      <w:r w:rsidR="00C726EF">
        <w:rPr>
          <w:b/>
          <w:bCs/>
          <w:sz w:val="24"/>
          <w:szCs w:val="24"/>
        </w:rPr>
        <w:t xml:space="preserve"> Meeting – December 20</w:t>
      </w:r>
      <w:r w:rsidR="006B0C50">
        <w:rPr>
          <w:b/>
          <w:bCs/>
          <w:sz w:val="24"/>
          <w:szCs w:val="24"/>
        </w:rPr>
        <w:t>, 2016 at 7 p.m.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E518EC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2016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922F83">
      <w:pPr>
        <w:numPr>
          <w:ilvl w:val="0"/>
          <w:numId w:val="6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744F67" w:rsidRPr="000F4984" w:rsidRDefault="00922F83" w:rsidP="00AC02E8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sectPr w:rsidR="00744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74"/>
    <w:multiLevelType w:val="hybridMultilevel"/>
    <w:tmpl w:val="D2C20C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172"/>
    <w:multiLevelType w:val="hybridMultilevel"/>
    <w:tmpl w:val="7AF46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B52F4"/>
    <w:multiLevelType w:val="hybridMultilevel"/>
    <w:tmpl w:val="652EFC1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94939"/>
    <w:multiLevelType w:val="hybridMultilevel"/>
    <w:tmpl w:val="E17010C0"/>
    <w:lvl w:ilvl="0" w:tplc="C7884BC2">
      <w:start w:val="3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041E65"/>
    <w:multiLevelType w:val="hybridMultilevel"/>
    <w:tmpl w:val="A65E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431F6"/>
    <w:multiLevelType w:val="hybridMultilevel"/>
    <w:tmpl w:val="FD1A5A7E"/>
    <w:lvl w:ilvl="0" w:tplc="E78A41A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48D69DD"/>
    <w:multiLevelType w:val="hybridMultilevel"/>
    <w:tmpl w:val="10E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24B65"/>
    <w:multiLevelType w:val="hybridMultilevel"/>
    <w:tmpl w:val="5AB06A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C2A7392"/>
    <w:multiLevelType w:val="hybridMultilevel"/>
    <w:tmpl w:val="CDD4E9A4"/>
    <w:lvl w:ilvl="0" w:tplc="CF56CC2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1C2554"/>
    <w:multiLevelType w:val="hybridMultilevel"/>
    <w:tmpl w:val="7612268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36506844"/>
    <w:multiLevelType w:val="hybridMultilevel"/>
    <w:tmpl w:val="9B0A3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6B62B7B"/>
    <w:multiLevelType w:val="hybridMultilevel"/>
    <w:tmpl w:val="80BE8C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7D05BF0"/>
    <w:multiLevelType w:val="hybridMultilevel"/>
    <w:tmpl w:val="0ECE77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86C"/>
    <w:multiLevelType w:val="hybridMultilevel"/>
    <w:tmpl w:val="A288D19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4385C10"/>
    <w:multiLevelType w:val="hybridMultilevel"/>
    <w:tmpl w:val="35DA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B5AE5"/>
    <w:multiLevelType w:val="hybridMultilevel"/>
    <w:tmpl w:val="A5F05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EAA16A7"/>
    <w:multiLevelType w:val="hybridMultilevel"/>
    <w:tmpl w:val="5C46640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1852CE7"/>
    <w:multiLevelType w:val="hybridMultilevel"/>
    <w:tmpl w:val="C11618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3F642FA"/>
    <w:multiLevelType w:val="hybridMultilevel"/>
    <w:tmpl w:val="7C7054A8"/>
    <w:lvl w:ilvl="0" w:tplc="41B8A31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5770FB2"/>
    <w:multiLevelType w:val="hybridMultilevel"/>
    <w:tmpl w:val="FE8A7B5E"/>
    <w:lvl w:ilvl="0" w:tplc="CDE43B86">
      <w:start w:val="2"/>
      <w:numFmt w:val="upperLetter"/>
      <w:lvlText w:val="%1."/>
      <w:lvlJc w:val="left"/>
      <w:pPr>
        <w:ind w:left="63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81B56E4"/>
    <w:multiLevelType w:val="hybridMultilevel"/>
    <w:tmpl w:val="A46EA7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5AEF465B"/>
    <w:multiLevelType w:val="hybridMultilevel"/>
    <w:tmpl w:val="C2F49E82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>
      <w:start w:val="1"/>
      <w:numFmt w:val="lowerRoman"/>
      <w:lvlText w:val="%3."/>
      <w:lvlJc w:val="right"/>
      <w:pPr>
        <w:ind w:left="7470" w:hanging="180"/>
      </w:pPr>
    </w:lvl>
    <w:lvl w:ilvl="3" w:tplc="0409000F">
      <w:start w:val="1"/>
      <w:numFmt w:val="decimal"/>
      <w:lvlText w:val="%4."/>
      <w:lvlJc w:val="left"/>
      <w:pPr>
        <w:ind w:left="8190" w:hanging="360"/>
      </w:pPr>
    </w:lvl>
    <w:lvl w:ilvl="4" w:tplc="04090019">
      <w:start w:val="1"/>
      <w:numFmt w:val="lowerLetter"/>
      <w:lvlText w:val="%5."/>
      <w:lvlJc w:val="left"/>
      <w:pPr>
        <w:ind w:left="8910" w:hanging="360"/>
      </w:pPr>
    </w:lvl>
    <w:lvl w:ilvl="5" w:tplc="0409001B">
      <w:start w:val="1"/>
      <w:numFmt w:val="lowerRoman"/>
      <w:lvlText w:val="%6."/>
      <w:lvlJc w:val="right"/>
      <w:pPr>
        <w:ind w:left="9630" w:hanging="180"/>
      </w:pPr>
    </w:lvl>
    <w:lvl w:ilvl="6" w:tplc="0409000F">
      <w:start w:val="1"/>
      <w:numFmt w:val="decimal"/>
      <w:lvlText w:val="%7."/>
      <w:lvlJc w:val="left"/>
      <w:pPr>
        <w:ind w:left="10350" w:hanging="360"/>
      </w:pPr>
    </w:lvl>
    <w:lvl w:ilvl="7" w:tplc="04090019">
      <w:start w:val="1"/>
      <w:numFmt w:val="lowerLetter"/>
      <w:lvlText w:val="%8."/>
      <w:lvlJc w:val="left"/>
      <w:pPr>
        <w:ind w:left="11070" w:hanging="360"/>
      </w:pPr>
    </w:lvl>
    <w:lvl w:ilvl="8" w:tplc="0409001B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5F452062"/>
    <w:multiLevelType w:val="hybridMultilevel"/>
    <w:tmpl w:val="0780F8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06E2A86"/>
    <w:multiLevelType w:val="hybridMultilevel"/>
    <w:tmpl w:val="30CC58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5583D06"/>
    <w:multiLevelType w:val="hybridMultilevel"/>
    <w:tmpl w:val="E138ABC6"/>
    <w:lvl w:ilvl="0" w:tplc="2DDA827A">
      <w:start w:val="2016"/>
      <w:numFmt w:val="decimal"/>
      <w:lvlText w:val="%1"/>
      <w:lvlJc w:val="left"/>
      <w:pPr>
        <w:ind w:left="19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660349B3"/>
    <w:multiLevelType w:val="hybridMultilevel"/>
    <w:tmpl w:val="33C8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C466A"/>
    <w:multiLevelType w:val="hybridMultilevel"/>
    <w:tmpl w:val="ECF63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E7C80"/>
    <w:multiLevelType w:val="hybridMultilevel"/>
    <w:tmpl w:val="9B743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27F3B"/>
    <w:multiLevelType w:val="hybridMultilevel"/>
    <w:tmpl w:val="6F92A28A"/>
    <w:lvl w:ilvl="0" w:tplc="E7C06050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6E853AE1"/>
    <w:multiLevelType w:val="hybridMultilevel"/>
    <w:tmpl w:val="1F7A0F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24F7E91"/>
    <w:multiLevelType w:val="hybridMultilevel"/>
    <w:tmpl w:val="18DC05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C4341"/>
    <w:multiLevelType w:val="hybridMultilevel"/>
    <w:tmpl w:val="65225DE0"/>
    <w:lvl w:ilvl="0" w:tplc="DBBC39C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4CF684F"/>
    <w:multiLevelType w:val="hybridMultilevel"/>
    <w:tmpl w:val="CDCA3B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8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7305B"/>
    <w:multiLevelType w:val="hybridMultilevel"/>
    <w:tmpl w:val="9312ABE0"/>
    <w:lvl w:ilvl="0" w:tplc="FFFFFFFF">
      <w:start w:val="1"/>
      <w:numFmt w:val="decimal"/>
      <w:lvlText w:val="%1."/>
      <w:lvlJc w:val="left"/>
      <w:pPr>
        <w:tabs>
          <w:tab w:val="num" w:pos="300"/>
        </w:tabs>
        <w:ind w:left="-60" w:firstLine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7F0D6DFC"/>
    <w:multiLevelType w:val="hybridMultilevel"/>
    <w:tmpl w:val="A5E4B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4"/>
  </w:num>
  <w:num w:numId="9">
    <w:abstractNumId w:val="5"/>
  </w:num>
  <w:num w:numId="10">
    <w:abstractNumId w:val="19"/>
  </w:num>
  <w:num w:numId="11">
    <w:abstractNumId w:val="13"/>
  </w:num>
  <w:num w:numId="12">
    <w:abstractNumId w:val="35"/>
  </w:num>
  <w:num w:numId="13">
    <w:abstractNumId w:val="9"/>
  </w:num>
  <w:num w:numId="14">
    <w:abstractNumId w:val="6"/>
  </w:num>
  <w:num w:numId="15">
    <w:abstractNumId w:val="17"/>
  </w:num>
  <w:num w:numId="16">
    <w:abstractNumId w:val="25"/>
  </w:num>
  <w:num w:numId="17">
    <w:abstractNumId w:val="12"/>
  </w:num>
  <w:num w:numId="18">
    <w:abstractNumId w:val="28"/>
  </w:num>
  <w:num w:numId="19">
    <w:abstractNumId w:val="26"/>
  </w:num>
  <w:num w:numId="20">
    <w:abstractNumId w:val="24"/>
  </w:num>
  <w:num w:numId="21">
    <w:abstractNumId w:val="23"/>
  </w:num>
  <w:num w:numId="22">
    <w:abstractNumId w:val="18"/>
  </w:num>
  <w:num w:numId="23">
    <w:abstractNumId w:val="15"/>
  </w:num>
  <w:num w:numId="24">
    <w:abstractNumId w:val="8"/>
  </w:num>
  <w:num w:numId="25">
    <w:abstractNumId w:val="16"/>
  </w:num>
  <w:num w:numId="26">
    <w:abstractNumId w:val="33"/>
  </w:num>
  <w:num w:numId="27">
    <w:abstractNumId w:val="36"/>
  </w:num>
  <w:num w:numId="28">
    <w:abstractNumId w:val="22"/>
  </w:num>
  <w:num w:numId="29">
    <w:abstractNumId w:val="32"/>
  </w:num>
  <w:num w:numId="30">
    <w:abstractNumId w:val="40"/>
  </w:num>
  <w:num w:numId="31">
    <w:abstractNumId w:val="38"/>
  </w:num>
  <w:num w:numId="32">
    <w:abstractNumId w:val="0"/>
  </w:num>
  <w:num w:numId="33">
    <w:abstractNumId w:val="29"/>
  </w:num>
  <w:num w:numId="34">
    <w:abstractNumId w:val="31"/>
  </w:num>
  <w:num w:numId="35">
    <w:abstractNumId w:val="20"/>
  </w:num>
  <w:num w:numId="36">
    <w:abstractNumId w:val="14"/>
  </w:num>
  <w:num w:numId="37">
    <w:abstractNumId w:val="1"/>
  </w:num>
  <w:num w:numId="38">
    <w:abstractNumId w:val="39"/>
  </w:num>
  <w:num w:numId="39">
    <w:abstractNumId w:val="4"/>
  </w:num>
  <w:num w:numId="40">
    <w:abstractNumId w:val="21"/>
  </w:num>
  <w:num w:numId="41">
    <w:abstractNumId w:val="3"/>
  </w:num>
  <w:num w:numId="42">
    <w:abstractNumId w:val="10"/>
  </w:num>
  <w:num w:numId="43">
    <w:abstractNumId w:val="3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417EA"/>
    <w:rsid w:val="000450C9"/>
    <w:rsid w:val="00056F2A"/>
    <w:rsid w:val="000A426D"/>
    <w:rsid w:val="000E22C6"/>
    <w:rsid w:val="000F4984"/>
    <w:rsid w:val="00146D32"/>
    <w:rsid w:val="001B268E"/>
    <w:rsid w:val="00213B69"/>
    <w:rsid w:val="00223476"/>
    <w:rsid w:val="00245248"/>
    <w:rsid w:val="0027789A"/>
    <w:rsid w:val="002A242E"/>
    <w:rsid w:val="002B30DD"/>
    <w:rsid w:val="002B42C5"/>
    <w:rsid w:val="002D2C01"/>
    <w:rsid w:val="002D40CD"/>
    <w:rsid w:val="00397A74"/>
    <w:rsid w:val="003C09F4"/>
    <w:rsid w:val="003F5DDC"/>
    <w:rsid w:val="00412346"/>
    <w:rsid w:val="00415601"/>
    <w:rsid w:val="00431BA4"/>
    <w:rsid w:val="00457751"/>
    <w:rsid w:val="004774F8"/>
    <w:rsid w:val="004824B1"/>
    <w:rsid w:val="004C6039"/>
    <w:rsid w:val="004E2FB0"/>
    <w:rsid w:val="00593B56"/>
    <w:rsid w:val="005A6207"/>
    <w:rsid w:val="005B02CB"/>
    <w:rsid w:val="005B67A5"/>
    <w:rsid w:val="005D7377"/>
    <w:rsid w:val="005F50DC"/>
    <w:rsid w:val="005F566E"/>
    <w:rsid w:val="006A10D9"/>
    <w:rsid w:val="006A6CF8"/>
    <w:rsid w:val="006B0C50"/>
    <w:rsid w:val="006C382B"/>
    <w:rsid w:val="00744F67"/>
    <w:rsid w:val="0079669C"/>
    <w:rsid w:val="007A36C1"/>
    <w:rsid w:val="007C3B53"/>
    <w:rsid w:val="007D5539"/>
    <w:rsid w:val="00804F1F"/>
    <w:rsid w:val="00836A2E"/>
    <w:rsid w:val="00857EAB"/>
    <w:rsid w:val="00890082"/>
    <w:rsid w:val="00895386"/>
    <w:rsid w:val="0089624C"/>
    <w:rsid w:val="008A4E37"/>
    <w:rsid w:val="008A62DB"/>
    <w:rsid w:val="008E1A4F"/>
    <w:rsid w:val="008E5128"/>
    <w:rsid w:val="00922F83"/>
    <w:rsid w:val="0098131A"/>
    <w:rsid w:val="00983005"/>
    <w:rsid w:val="0099467B"/>
    <w:rsid w:val="009E06FB"/>
    <w:rsid w:val="009F5508"/>
    <w:rsid w:val="00A01D06"/>
    <w:rsid w:val="00A408F4"/>
    <w:rsid w:val="00A47572"/>
    <w:rsid w:val="00A53636"/>
    <w:rsid w:val="00A959AF"/>
    <w:rsid w:val="00AC741E"/>
    <w:rsid w:val="00AE2451"/>
    <w:rsid w:val="00B20805"/>
    <w:rsid w:val="00B270D4"/>
    <w:rsid w:val="00B90CB9"/>
    <w:rsid w:val="00BF7CB0"/>
    <w:rsid w:val="00C22040"/>
    <w:rsid w:val="00C43FF3"/>
    <w:rsid w:val="00C519F3"/>
    <w:rsid w:val="00C5319A"/>
    <w:rsid w:val="00C64107"/>
    <w:rsid w:val="00C726EF"/>
    <w:rsid w:val="00C87BB1"/>
    <w:rsid w:val="00CE539E"/>
    <w:rsid w:val="00D051B9"/>
    <w:rsid w:val="00D0750C"/>
    <w:rsid w:val="00DF01BD"/>
    <w:rsid w:val="00DF2026"/>
    <w:rsid w:val="00E14557"/>
    <w:rsid w:val="00E25B07"/>
    <w:rsid w:val="00E518EC"/>
    <w:rsid w:val="00E641DE"/>
    <w:rsid w:val="00E72029"/>
    <w:rsid w:val="00E750BC"/>
    <w:rsid w:val="00E924F0"/>
    <w:rsid w:val="00E96213"/>
    <w:rsid w:val="00EB553C"/>
    <w:rsid w:val="00EF43A3"/>
    <w:rsid w:val="00EF6F71"/>
    <w:rsid w:val="00F01C9F"/>
    <w:rsid w:val="00F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1806-64EF-4D61-B5CE-BC07999A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2016-12-16T18:04:00Z</cp:lastPrinted>
  <dcterms:created xsi:type="dcterms:W3CDTF">2016-12-16T20:04:00Z</dcterms:created>
  <dcterms:modified xsi:type="dcterms:W3CDTF">2016-12-16T20:04:00Z</dcterms:modified>
</cp:coreProperties>
</file>